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7D" w:rsidRDefault="00591B7D" w:rsidP="00591B7D">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关于开展2016年秋季开学暨年度重点工作</w:t>
      </w:r>
    </w:p>
    <w:p w:rsidR="00591B7D" w:rsidRDefault="00591B7D" w:rsidP="00591B7D">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落实情况专项督导检查的通知</w:t>
      </w:r>
    </w:p>
    <w:p w:rsidR="00591B7D" w:rsidRPr="00591B7D" w:rsidRDefault="00591B7D" w:rsidP="00C13529">
      <w:pPr>
        <w:spacing w:beforeLines="50" w:before="156"/>
        <w:rPr>
          <w:rFonts w:ascii="仿宋_GB2312" w:eastAsia="仿宋_GB2312"/>
          <w:color w:val="000000"/>
          <w:sz w:val="32"/>
          <w:szCs w:val="32"/>
        </w:rPr>
      </w:pPr>
      <w:r w:rsidRPr="00591B7D">
        <w:rPr>
          <w:rFonts w:ascii="仿宋_GB2312" w:eastAsia="仿宋_GB2312" w:hint="eastAsia"/>
          <w:color w:val="000000"/>
          <w:sz w:val="32"/>
          <w:szCs w:val="32"/>
        </w:rPr>
        <w:t>各二级学院、各部门：</w:t>
      </w:r>
    </w:p>
    <w:p w:rsidR="00591B7D" w:rsidRPr="00591B7D" w:rsidRDefault="00591B7D" w:rsidP="00B510A8">
      <w:pPr>
        <w:spacing w:line="360" w:lineRule="auto"/>
        <w:ind w:firstLineChars="200" w:firstLine="640"/>
        <w:rPr>
          <w:rFonts w:ascii="仿宋_GB2312" w:eastAsia="仿宋_GB2312"/>
          <w:sz w:val="32"/>
          <w:szCs w:val="32"/>
        </w:rPr>
      </w:pPr>
      <w:r>
        <w:rPr>
          <w:rFonts w:ascii="仿宋_GB2312" w:eastAsia="仿宋_GB2312" w:hint="eastAsia"/>
          <w:color w:val="000000"/>
          <w:sz w:val="32"/>
          <w:szCs w:val="32"/>
        </w:rPr>
        <w:t>根据国务院教育督导委员会办公室《关于开展2016年秋季开学暨年度重点工作落实情况专项督导检查的通知》（</w:t>
      </w:r>
      <w:r>
        <w:rPr>
          <w:rFonts w:ascii="仿宋_GB2312" w:eastAsia="仿宋_GB2312" w:hint="eastAsia"/>
          <w:sz w:val="32"/>
          <w:szCs w:val="32"/>
        </w:rPr>
        <w:t>国教督办函〔2016〕53号</w:t>
      </w:r>
      <w:proofErr w:type="gramStart"/>
      <w:r>
        <w:rPr>
          <w:rFonts w:ascii="仿宋_GB2312" w:eastAsia="仿宋_GB2312" w:hint="eastAsia"/>
          <w:sz w:val="32"/>
          <w:szCs w:val="32"/>
        </w:rPr>
        <w:t>》</w:t>
      </w:r>
      <w:proofErr w:type="gramEnd"/>
      <w:r>
        <w:rPr>
          <w:rFonts w:ascii="仿宋_GB2312" w:eastAsia="仿宋_GB2312" w:hint="eastAsia"/>
          <w:sz w:val="32"/>
          <w:szCs w:val="32"/>
        </w:rPr>
        <w:t>要求，</w:t>
      </w:r>
      <w:r w:rsidR="00C13529">
        <w:rPr>
          <w:rFonts w:ascii="仿宋_GB2312" w:eastAsia="仿宋_GB2312" w:hint="eastAsia"/>
          <w:sz w:val="32"/>
          <w:szCs w:val="32"/>
        </w:rPr>
        <w:t>请各二级学院、各相关部门认真做好2016年秋季开学各项工作，并根据通知要求进行自查，形成自查报告。</w:t>
      </w:r>
      <w:r w:rsidR="00C13529" w:rsidRPr="00B22C00">
        <w:rPr>
          <w:rFonts w:ascii="仿宋_GB2312" w:eastAsia="仿宋_GB2312" w:hint="eastAsia"/>
          <w:sz w:val="32"/>
          <w:szCs w:val="32"/>
        </w:rPr>
        <w:t>存在问题的请注明具体情况，列出问题清单。</w:t>
      </w:r>
      <w:r w:rsidR="00C13529">
        <w:rPr>
          <w:rFonts w:ascii="仿宋_GB2312" w:eastAsia="仿宋_GB2312" w:hint="eastAsia"/>
          <w:sz w:val="32"/>
          <w:szCs w:val="32"/>
        </w:rPr>
        <w:t>自查报告于</w:t>
      </w:r>
      <w:r w:rsidR="00C13529" w:rsidRPr="00591B7D">
        <w:rPr>
          <w:rFonts w:ascii="仿宋_GB2312" w:eastAsia="仿宋_GB2312" w:hint="eastAsia"/>
          <w:sz w:val="32"/>
          <w:szCs w:val="32"/>
        </w:rPr>
        <w:t>2016年8月2</w:t>
      </w:r>
      <w:r w:rsidR="00C13529">
        <w:rPr>
          <w:rFonts w:ascii="仿宋_GB2312" w:eastAsia="仿宋_GB2312" w:hint="eastAsia"/>
          <w:sz w:val="32"/>
          <w:szCs w:val="32"/>
        </w:rPr>
        <w:t>9</w:t>
      </w:r>
      <w:r w:rsidR="00C13529" w:rsidRPr="00591B7D">
        <w:rPr>
          <w:rFonts w:ascii="仿宋_GB2312" w:eastAsia="仿宋_GB2312" w:hint="eastAsia"/>
          <w:sz w:val="32"/>
          <w:szCs w:val="32"/>
        </w:rPr>
        <w:t>日上午1</w:t>
      </w:r>
      <w:r w:rsidR="00C13529">
        <w:rPr>
          <w:rFonts w:ascii="仿宋_GB2312" w:eastAsia="仿宋_GB2312" w:hint="eastAsia"/>
          <w:sz w:val="32"/>
          <w:szCs w:val="32"/>
        </w:rPr>
        <w:t>2：0</w:t>
      </w:r>
      <w:r w:rsidR="00C13529" w:rsidRPr="00591B7D">
        <w:rPr>
          <w:rFonts w:ascii="仿宋_GB2312" w:eastAsia="仿宋_GB2312" w:hint="eastAsia"/>
          <w:sz w:val="32"/>
          <w:szCs w:val="32"/>
        </w:rPr>
        <w:t>0</w:t>
      </w:r>
      <w:r w:rsidR="00C13529">
        <w:rPr>
          <w:rFonts w:ascii="仿宋_GB2312" w:eastAsia="仿宋_GB2312" w:hint="eastAsia"/>
          <w:sz w:val="32"/>
          <w:szCs w:val="32"/>
        </w:rPr>
        <w:t>前</w:t>
      </w:r>
      <w:r w:rsidRPr="00591B7D">
        <w:rPr>
          <w:rFonts w:ascii="仿宋_GB2312" w:eastAsia="仿宋_GB2312" w:hint="eastAsia"/>
          <w:sz w:val="32"/>
          <w:szCs w:val="32"/>
        </w:rPr>
        <w:t>交</w:t>
      </w:r>
      <w:proofErr w:type="gramStart"/>
      <w:r w:rsidR="00C13529">
        <w:rPr>
          <w:rFonts w:ascii="仿宋_GB2312" w:eastAsia="仿宋_GB2312" w:hint="eastAsia"/>
          <w:sz w:val="32"/>
          <w:szCs w:val="32"/>
        </w:rPr>
        <w:t>办公室</w:t>
      </w:r>
      <w:r w:rsidRPr="00591B7D">
        <w:rPr>
          <w:rFonts w:ascii="仿宋_GB2312" w:eastAsia="仿宋_GB2312" w:hint="eastAsia"/>
          <w:sz w:val="32"/>
          <w:szCs w:val="32"/>
        </w:rPr>
        <w:t>汪卫平处</w:t>
      </w:r>
      <w:proofErr w:type="gramEnd"/>
      <w:r w:rsidRPr="00591B7D">
        <w:rPr>
          <w:rFonts w:ascii="仿宋_GB2312" w:eastAsia="仿宋_GB2312" w:hint="eastAsia"/>
          <w:sz w:val="32"/>
          <w:szCs w:val="32"/>
        </w:rPr>
        <w:t>（1016</w:t>
      </w:r>
      <w:r w:rsidR="005069BB">
        <w:rPr>
          <w:rFonts w:ascii="仿宋_GB2312" w:eastAsia="仿宋_GB2312" w:hint="eastAsia"/>
          <w:sz w:val="32"/>
          <w:szCs w:val="32"/>
        </w:rPr>
        <w:t>办公室）</w:t>
      </w:r>
      <w:r>
        <w:rPr>
          <w:rFonts w:ascii="仿宋_GB2312" w:eastAsia="仿宋_GB2312" w:hint="eastAsia"/>
          <w:sz w:val="32"/>
          <w:szCs w:val="32"/>
        </w:rPr>
        <w:t>。</w:t>
      </w:r>
    </w:p>
    <w:p w:rsidR="00591B7D" w:rsidRPr="00C13529" w:rsidRDefault="00C13529" w:rsidP="00B510A8">
      <w:pPr>
        <w:spacing w:line="360" w:lineRule="auto"/>
        <w:ind w:firstLineChars="200" w:firstLine="640"/>
        <w:rPr>
          <w:rFonts w:ascii="仿宋_GB2312" w:eastAsia="仿宋_GB2312"/>
          <w:sz w:val="32"/>
          <w:szCs w:val="32"/>
        </w:rPr>
      </w:pPr>
      <w:r w:rsidRPr="00C13529">
        <w:rPr>
          <w:rFonts w:ascii="仿宋_GB2312" w:eastAsia="仿宋_GB2312" w:hint="eastAsia"/>
          <w:sz w:val="32"/>
          <w:szCs w:val="32"/>
        </w:rPr>
        <w:t>特此通知</w:t>
      </w:r>
    </w:p>
    <w:p w:rsidR="00591B7D" w:rsidRDefault="00591B7D">
      <w:pPr>
        <w:rPr>
          <w:rFonts w:hint="eastAsia"/>
        </w:rPr>
      </w:pPr>
    </w:p>
    <w:p w:rsidR="00C13529" w:rsidRPr="005069BB" w:rsidRDefault="00C13529"/>
    <w:p w:rsidR="00591B7D" w:rsidRPr="005069BB" w:rsidRDefault="00591B7D"/>
    <w:p w:rsidR="00591B7D" w:rsidRDefault="00591B7D"/>
    <w:p w:rsidR="00591B7D" w:rsidRPr="00591B7D" w:rsidRDefault="00591B7D" w:rsidP="00591B7D">
      <w:pPr>
        <w:ind w:right="420"/>
        <w:jc w:val="right"/>
        <w:rPr>
          <w:rFonts w:ascii="仿宋_GB2312" w:eastAsia="仿宋_GB2312"/>
          <w:sz w:val="32"/>
          <w:szCs w:val="32"/>
        </w:rPr>
      </w:pPr>
      <w:r w:rsidRPr="00591B7D">
        <w:rPr>
          <w:rFonts w:ascii="仿宋_GB2312" w:eastAsia="仿宋_GB2312" w:hint="eastAsia"/>
          <w:sz w:val="32"/>
          <w:szCs w:val="32"/>
        </w:rPr>
        <w:t>办公室</w:t>
      </w:r>
    </w:p>
    <w:p w:rsidR="00591B7D" w:rsidRDefault="00591B7D" w:rsidP="00591B7D">
      <w:pPr>
        <w:jc w:val="right"/>
        <w:rPr>
          <w:rFonts w:ascii="仿宋_GB2312" w:eastAsia="仿宋_GB2312"/>
          <w:sz w:val="32"/>
          <w:szCs w:val="32"/>
        </w:rPr>
      </w:pPr>
      <w:r w:rsidRPr="00591B7D">
        <w:rPr>
          <w:rFonts w:ascii="仿宋_GB2312" w:eastAsia="仿宋_GB2312" w:hint="eastAsia"/>
          <w:sz w:val="32"/>
          <w:szCs w:val="32"/>
        </w:rPr>
        <w:t>2016年8月26日</w:t>
      </w:r>
    </w:p>
    <w:p w:rsidR="00676D57" w:rsidRDefault="00676D57" w:rsidP="00676D57">
      <w:pPr>
        <w:widowControl/>
        <w:jc w:val="left"/>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lastRenderedPageBreak/>
        <w:t>附件：</w:t>
      </w:r>
    </w:p>
    <w:tbl>
      <w:tblPr>
        <w:tblStyle w:val="a7"/>
        <w:tblpPr w:leftFromText="180" w:rightFromText="180" w:vertAnchor="text" w:horzAnchor="margin" w:tblpXSpec="center" w:tblpY="510"/>
        <w:tblW w:w="8860" w:type="dxa"/>
        <w:tblLook w:val="04A0" w:firstRow="1" w:lastRow="0" w:firstColumn="1" w:lastColumn="0" w:noHBand="0" w:noVBand="1"/>
      </w:tblPr>
      <w:tblGrid>
        <w:gridCol w:w="640"/>
        <w:gridCol w:w="3579"/>
        <w:gridCol w:w="2513"/>
        <w:gridCol w:w="2128"/>
      </w:tblGrid>
      <w:tr w:rsidR="00B22C00" w:rsidRPr="001D323F" w:rsidTr="00C13529">
        <w:trPr>
          <w:trHeight w:val="508"/>
        </w:trPr>
        <w:tc>
          <w:tcPr>
            <w:tcW w:w="640" w:type="dxa"/>
            <w:vAlign w:val="center"/>
          </w:tcPr>
          <w:p w:rsidR="00B22C00" w:rsidRPr="001D323F" w:rsidRDefault="00B22C00" w:rsidP="00B22C00">
            <w:pPr>
              <w:jc w:val="center"/>
              <w:rPr>
                <w:sz w:val="30"/>
                <w:szCs w:val="30"/>
              </w:rPr>
            </w:pPr>
            <w:r w:rsidRPr="001D323F">
              <w:rPr>
                <w:rFonts w:hint="eastAsia"/>
                <w:sz w:val="30"/>
                <w:szCs w:val="30"/>
              </w:rPr>
              <w:t>序号</w:t>
            </w:r>
          </w:p>
        </w:tc>
        <w:tc>
          <w:tcPr>
            <w:tcW w:w="3579" w:type="dxa"/>
            <w:vAlign w:val="center"/>
          </w:tcPr>
          <w:p w:rsidR="00B22C00" w:rsidRPr="001D323F" w:rsidRDefault="00B22C00" w:rsidP="00B22C00">
            <w:pPr>
              <w:jc w:val="center"/>
              <w:rPr>
                <w:sz w:val="30"/>
                <w:szCs w:val="30"/>
              </w:rPr>
            </w:pPr>
            <w:r w:rsidRPr="001D323F">
              <w:rPr>
                <w:rFonts w:hint="eastAsia"/>
                <w:sz w:val="30"/>
                <w:szCs w:val="30"/>
              </w:rPr>
              <w:t>具体工作任务</w:t>
            </w:r>
          </w:p>
        </w:tc>
        <w:tc>
          <w:tcPr>
            <w:tcW w:w="2513" w:type="dxa"/>
            <w:vAlign w:val="center"/>
          </w:tcPr>
          <w:p w:rsidR="00B22C00" w:rsidRPr="001D323F" w:rsidRDefault="00B22C00" w:rsidP="00F03063">
            <w:pPr>
              <w:jc w:val="center"/>
              <w:rPr>
                <w:sz w:val="30"/>
                <w:szCs w:val="30"/>
              </w:rPr>
            </w:pPr>
            <w:r w:rsidRPr="001D323F">
              <w:rPr>
                <w:rFonts w:hint="eastAsia"/>
                <w:sz w:val="30"/>
                <w:szCs w:val="30"/>
              </w:rPr>
              <w:t>完成情况</w:t>
            </w:r>
            <w:bookmarkStart w:id="0" w:name="_GoBack"/>
            <w:bookmarkEnd w:id="0"/>
          </w:p>
        </w:tc>
        <w:tc>
          <w:tcPr>
            <w:tcW w:w="2128" w:type="dxa"/>
            <w:vAlign w:val="center"/>
          </w:tcPr>
          <w:p w:rsidR="00B22C00" w:rsidRDefault="00B22C00" w:rsidP="00B22C00">
            <w:pPr>
              <w:jc w:val="center"/>
              <w:rPr>
                <w:sz w:val="30"/>
                <w:szCs w:val="30"/>
              </w:rPr>
            </w:pPr>
            <w:r w:rsidRPr="001D323F">
              <w:rPr>
                <w:rFonts w:hint="eastAsia"/>
                <w:sz w:val="30"/>
                <w:szCs w:val="30"/>
              </w:rPr>
              <w:t>责任部门</w:t>
            </w:r>
          </w:p>
          <w:p w:rsidR="00B22C00" w:rsidRPr="001D323F" w:rsidRDefault="00B22C00" w:rsidP="00B22C00">
            <w:pPr>
              <w:jc w:val="center"/>
              <w:rPr>
                <w:sz w:val="30"/>
                <w:szCs w:val="30"/>
              </w:rPr>
            </w:pPr>
            <w:r w:rsidRPr="001D323F">
              <w:rPr>
                <w:rFonts w:hint="eastAsia"/>
                <w:sz w:val="30"/>
                <w:szCs w:val="30"/>
              </w:rPr>
              <w:t>(</w:t>
            </w:r>
            <w:r w:rsidRPr="001D323F">
              <w:rPr>
                <w:rFonts w:hint="eastAsia"/>
                <w:sz w:val="30"/>
                <w:szCs w:val="30"/>
              </w:rPr>
              <w:t>牵头部门</w:t>
            </w:r>
            <w:r w:rsidRPr="001D323F">
              <w:rPr>
                <w:rFonts w:hint="eastAsia"/>
                <w:sz w:val="30"/>
                <w:szCs w:val="30"/>
              </w:rPr>
              <w:t>)</w:t>
            </w:r>
          </w:p>
        </w:tc>
      </w:tr>
      <w:tr w:rsidR="00B22C00" w:rsidRPr="001D323F" w:rsidTr="00C13529">
        <w:trPr>
          <w:trHeight w:val="508"/>
        </w:trPr>
        <w:tc>
          <w:tcPr>
            <w:tcW w:w="640" w:type="dxa"/>
            <w:vAlign w:val="center"/>
          </w:tcPr>
          <w:p w:rsidR="00B22C00" w:rsidRPr="001D323F" w:rsidRDefault="00B22C00" w:rsidP="00B22C00">
            <w:pPr>
              <w:jc w:val="center"/>
              <w:rPr>
                <w:sz w:val="30"/>
                <w:szCs w:val="30"/>
              </w:rPr>
            </w:pPr>
            <w:r>
              <w:rPr>
                <w:rFonts w:hint="eastAsia"/>
                <w:sz w:val="30"/>
                <w:szCs w:val="30"/>
              </w:rPr>
              <w:t>1</w:t>
            </w:r>
          </w:p>
        </w:tc>
        <w:tc>
          <w:tcPr>
            <w:tcW w:w="3579" w:type="dxa"/>
            <w:vAlign w:val="center"/>
          </w:tcPr>
          <w:p w:rsidR="00B22C00" w:rsidRPr="00B22C00" w:rsidRDefault="00B22C00" w:rsidP="00C13529">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组织师生按时返校情况。教职员工是否及时到岗；</w:t>
            </w:r>
            <w:r w:rsidR="00C13529" w:rsidRPr="00B22C00">
              <w:rPr>
                <w:rFonts w:ascii="仿宋_GB2312" w:eastAsia="仿宋_GB2312" w:hAnsi="仿宋_GB2312" w:cs="仿宋_GB2312"/>
                <w:szCs w:val="21"/>
              </w:rPr>
              <w:t xml:space="preserve"> </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C13529">
            <w:pPr>
              <w:jc w:val="center"/>
              <w:rPr>
                <w:sz w:val="30"/>
                <w:szCs w:val="30"/>
              </w:rPr>
            </w:pPr>
            <w:r>
              <w:rPr>
                <w:rFonts w:hint="eastAsia"/>
                <w:sz w:val="30"/>
                <w:szCs w:val="30"/>
              </w:rPr>
              <w:t>组织</w:t>
            </w:r>
            <w:r w:rsidR="00B22C00">
              <w:rPr>
                <w:rFonts w:hint="eastAsia"/>
                <w:sz w:val="30"/>
                <w:szCs w:val="30"/>
              </w:rPr>
              <w:t>人事处</w:t>
            </w:r>
          </w:p>
        </w:tc>
      </w:tr>
      <w:tr w:rsidR="00C13529" w:rsidRPr="001D323F" w:rsidTr="00C13529">
        <w:trPr>
          <w:trHeight w:val="508"/>
        </w:trPr>
        <w:tc>
          <w:tcPr>
            <w:tcW w:w="640" w:type="dxa"/>
            <w:vAlign w:val="center"/>
          </w:tcPr>
          <w:p w:rsidR="00C13529" w:rsidRDefault="00C13529" w:rsidP="00B22C00">
            <w:pPr>
              <w:jc w:val="center"/>
              <w:rPr>
                <w:rFonts w:hint="eastAsia"/>
                <w:sz w:val="30"/>
                <w:szCs w:val="30"/>
              </w:rPr>
            </w:pPr>
            <w:r>
              <w:rPr>
                <w:rFonts w:hint="eastAsia"/>
                <w:sz w:val="30"/>
                <w:szCs w:val="30"/>
              </w:rPr>
              <w:t>2</w:t>
            </w:r>
          </w:p>
        </w:tc>
        <w:tc>
          <w:tcPr>
            <w:tcW w:w="3579" w:type="dxa"/>
            <w:vAlign w:val="center"/>
          </w:tcPr>
          <w:p w:rsidR="00C13529" w:rsidRPr="00B22C00" w:rsidRDefault="00C13529" w:rsidP="00B22C00">
            <w:pPr>
              <w:spacing w:line="580" w:lineRule="exact"/>
              <w:rPr>
                <w:rFonts w:ascii="仿宋_GB2312" w:eastAsia="仿宋_GB2312" w:hAnsi="仿宋_GB2312" w:cs="仿宋_GB2312" w:hint="eastAsia"/>
                <w:szCs w:val="21"/>
              </w:rPr>
            </w:pPr>
            <w:r w:rsidRPr="00B22C00">
              <w:rPr>
                <w:rFonts w:ascii="仿宋_GB2312" w:eastAsia="仿宋_GB2312" w:hAnsi="仿宋_GB2312" w:cs="仿宋_GB2312" w:hint="eastAsia"/>
                <w:szCs w:val="21"/>
              </w:rPr>
              <w:t>学生是否按时返校；</w:t>
            </w:r>
          </w:p>
        </w:tc>
        <w:tc>
          <w:tcPr>
            <w:tcW w:w="2513" w:type="dxa"/>
            <w:vAlign w:val="center"/>
          </w:tcPr>
          <w:p w:rsidR="00C13529" w:rsidRPr="001D323F" w:rsidRDefault="00C13529" w:rsidP="00B22C00">
            <w:pPr>
              <w:jc w:val="center"/>
              <w:rPr>
                <w:sz w:val="30"/>
                <w:szCs w:val="30"/>
              </w:rPr>
            </w:pPr>
          </w:p>
        </w:tc>
        <w:tc>
          <w:tcPr>
            <w:tcW w:w="2128" w:type="dxa"/>
            <w:vAlign w:val="center"/>
          </w:tcPr>
          <w:p w:rsidR="00C13529" w:rsidRDefault="00C13529" w:rsidP="00B22C00">
            <w:pPr>
              <w:jc w:val="center"/>
              <w:rPr>
                <w:rFonts w:hint="eastAsia"/>
                <w:sz w:val="30"/>
                <w:szCs w:val="30"/>
              </w:rPr>
            </w:pPr>
            <w:r>
              <w:rPr>
                <w:rFonts w:hint="eastAsia"/>
                <w:sz w:val="30"/>
                <w:szCs w:val="30"/>
              </w:rPr>
              <w:t>学工处</w:t>
            </w:r>
          </w:p>
        </w:tc>
      </w:tr>
      <w:tr w:rsidR="00C13529" w:rsidRPr="001D323F" w:rsidTr="00C13529">
        <w:trPr>
          <w:trHeight w:val="508"/>
        </w:trPr>
        <w:tc>
          <w:tcPr>
            <w:tcW w:w="640" w:type="dxa"/>
            <w:vAlign w:val="center"/>
          </w:tcPr>
          <w:p w:rsidR="00C13529" w:rsidRDefault="00C13529" w:rsidP="00B22C00">
            <w:pPr>
              <w:jc w:val="center"/>
              <w:rPr>
                <w:rFonts w:hint="eastAsia"/>
                <w:sz w:val="30"/>
                <w:szCs w:val="30"/>
              </w:rPr>
            </w:pPr>
            <w:r>
              <w:rPr>
                <w:rFonts w:hint="eastAsia"/>
                <w:sz w:val="30"/>
                <w:szCs w:val="30"/>
              </w:rPr>
              <w:t>3</w:t>
            </w:r>
          </w:p>
        </w:tc>
        <w:tc>
          <w:tcPr>
            <w:tcW w:w="3579" w:type="dxa"/>
            <w:vAlign w:val="center"/>
          </w:tcPr>
          <w:p w:rsidR="00C13529" w:rsidRPr="00B22C00" w:rsidRDefault="00C13529" w:rsidP="00B22C00">
            <w:pPr>
              <w:spacing w:line="580" w:lineRule="exact"/>
              <w:rPr>
                <w:rFonts w:ascii="仿宋_GB2312" w:eastAsia="仿宋_GB2312" w:hAnsi="仿宋_GB2312" w:cs="仿宋_GB2312" w:hint="eastAsia"/>
                <w:szCs w:val="21"/>
              </w:rPr>
            </w:pPr>
            <w:r w:rsidRPr="00B22C00">
              <w:rPr>
                <w:rFonts w:ascii="仿宋_GB2312" w:eastAsia="仿宋_GB2312" w:hAnsi="仿宋_GB2312" w:cs="仿宋_GB2312" w:hint="eastAsia"/>
                <w:szCs w:val="21"/>
              </w:rPr>
              <w:t>高校是否按照国家招生政策规定和学籍管理规定开展新生入学资格复查。</w:t>
            </w:r>
          </w:p>
        </w:tc>
        <w:tc>
          <w:tcPr>
            <w:tcW w:w="2513" w:type="dxa"/>
            <w:vAlign w:val="center"/>
          </w:tcPr>
          <w:p w:rsidR="00C13529" w:rsidRPr="001D323F" w:rsidRDefault="00C13529" w:rsidP="00B22C00">
            <w:pPr>
              <w:jc w:val="center"/>
              <w:rPr>
                <w:sz w:val="30"/>
                <w:szCs w:val="30"/>
              </w:rPr>
            </w:pPr>
          </w:p>
        </w:tc>
        <w:tc>
          <w:tcPr>
            <w:tcW w:w="2128" w:type="dxa"/>
            <w:vAlign w:val="center"/>
          </w:tcPr>
          <w:p w:rsidR="00C13529" w:rsidRDefault="00C13529" w:rsidP="00B22C00">
            <w:pPr>
              <w:jc w:val="center"/>
              <w:rPr>
                <w:rFonts w:hint="eastAsia"/>
                <w:sz w:val="30"/>
                <w:szCs w:val="30"/>
              </w:rPr>
            </w:pPr>
            <w:r>
              <w:rPr>
                <w:rFonts w:hint="eastAsia"/>
                <w:sz w:val="30"/>
                <w:szCs w:val="30"/>
              </w:rPr>
              <w:t>教务处</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t>4</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落实学生资助政策情况。是否积极落实国家资助政策；是否出现学生因家庭经济困难而辍学。</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学工处</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t>5</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教材和教辅材料符合国家规定要求情况。是否及时在开课前将课本发放到学生手中；是否违背自愿原则强制学生订购教辅材料。</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教务处</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t>6</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教学设备和资源保障情况。学校网络、多媒体设备、教学终端等各种教学设施设备是否检修到位；</w:t>
            </w:r>
            <w:r w:rsidRPr="001D323F">
              <w:rPr>
                <w:rFonts w:hint="eastAsia"/>
                <w:sz w:val="30"/>
                <w:szCs w:val="30"/>
              </w:rPr>
              <w:t xml:space="preserve"> </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Default="00B22C00" w:rsidP="00B22C00">
            <w:pPr>
              <w:jc w:val="center"/>
              <w:rPr>
                <w:rFonts w:hint="eastAsia"/>
                <w:sz w:val="30"/>
                <w:szCs w:val="30"/>
              </w:rPr>
            </w:pPr>
            <w:r>
              <w:rPr>
                <w:rFonts w:hint="eastAsia"/>
                <w:sz w:val="30"/>
                <w:szCs w:val="30"/>
              </w:rPr>
              <w:t>现教中心</w:t>
            </w:r>
            <w:r w:rsidR="00C13529">
              <w:rPr>
                <w:rFonts w:hint="eastAsia"/>
                <w:sz w:val="30"/>
                <w:szCs w:val="30"/>
              </w:rPr>
              <w:t>、</w:t>
            </w:r>
          </w:p>
          <w:p w:rsidR="00C13529" w:rsidRPr="001D323F" w:rsidRDefault="00C13529" w:rsidP="00B22C00">
            <w:pPr>
              <w:jc w:val="center"/>
              <w:rPr>
                <w:sz w:val="30"/>
                <w:szCs w:val="30"/>
              </w:rPr>
            </w:pPr>
            <w:r>
              <w:rPr>
                <w:rFonts w:hint="eastAsia"/>
                <w:sz w:val="30"/>
                <w:szCs w:val="30"/>
              </w:rPr>
              <w:t>实训中心</w:t>
            </w:r>
          </w:p>
        </w:tc>
      </w:tr>
      <w:tr w:rsidR="00B22C00" w:rsidRPr="001D323F" w:rsidTr="00C13529">
        <w:trPr>
          <w:trHeight w:val="508"/>
        </w:trPr>
        <w:tc>
          <w:tcPr>
            <w:tcW w:w="640" w:type="dxa"/>
            <w:vAlign w:val="center"/>
          </w:tcPr>
          <w:p w:rsidR="00B22C00" w:rsidRDefault="00C13529" w:rsidP="00B22C00">
            <w:pPr>
              <w:jc w:val="center"/>
              <w:rPr>
                <w:sz w:val="30"/>
                <w:szCs w:val="30"/>
              </w:rPr>
            </w:pPr>
            <w:r>
              <w:rPr>
                <w:rFonts w:hint="eastAsia"/>
                <w:sz w:val="30"/>
                <w:szCs w:val="30"/>
              </w:rPr>
              <w:t>7</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是否有与教材配套的数字教育资源供师生使用；是否按照《教育部办公厅等4部门关于开展基础教育装备产品质量专业检查行动的通知》、《教育部</w:t>
            </w:r>
            <w:r w:rsidRPr="00B22C00">
              <w:rPr>
                <w:rFonts w:ascii="仿宋_GB2312" w:eastAsia="仿宋_GB2312" w:hAnsi="仿宋_GB2312" w:cs="仿宋_GB2312" w:hint="eastAsia"/>
                <w:szCs w:val="21"/>
              </w:rPr>
              <w:lastRenderedPageBreak/>
              <w:t>办公厅关于开展合成材料面层跑道专项整治工作的通知》要求，对学校塑胶跑道进行排查和整改。</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Default="00C13529" w:rsidP="00B22C00">
            <w:pPr>
              <w:jc w:val="center"/>
              <w:rPr>
                <w:sz w:val="30"/>
                <w:szCs w:val="30"/>
              </w:rPr>
            </w:pPr>
            <w:r>
              <w:rPr>
                <w:rFonts w:hint="eastAsia"/>
                <w:sz w:val="30"/>
                <w:szCs w:val="30"/>
              </w:rPr>
              <w:t>教务处</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lastRenderedPageBreak/>
              <w:t>8</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后勤保障情况。学校生活设施设备是否经过检修；饮食、住宿、用水、用电等各项后勤保障工作是否到位。</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后勤处</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t>9</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职业教育生均拨款制度建立落实情况。是否落实高职生均拨款制度；是否建立</w:t>
            </w:r>
            <w:proofErr w:type="gramStart"/>
            <w:r w:rsidRPr="00B22C00">
              <w:rPr>
                <w:rFonts w:ascii="仿宋_GB2312" w:eastAsia="仿宋_GB2312" w:hAnsi="仿宋_GB2312" w:cs="仿宋_GB2312" w:hint="eastAsia"/>
                <w:szCs w:val="21"/>
              </w:rPr>
              <w:t>中职生均</w:t>
            </w:r>
            <w:proofErr w:type="gramEnd"/>
            <w:r w:rsidRPr="00B22C00">
              <w:rPr>
                <w:rFonts w:ascii="仿宋_GB2312" w:eastAsia="仿宋_GB2312" w:hAnsi="仿宋_GB2312" w:cs="仿宋_GB2312" w:hint="eastAsia"/>
                <w:szCs w:val="21"/>
              </w:rPr>
              <w:t>拨款制度。</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财务处</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t>10</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开学教育开展情况。是否开展爱学习、爱劳动、爱祖国“三爱”教育活动；是否开展节粮、节水、节电“三节”、节约型校园教育活动。</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各二级学院党总支</w:t>
            </w:r>
          </w:p>
        </w:tc>
      </w:tr>
      <w:tr w:rsidR="00B22C00" w:rsidRPr="001D323F" w:rsidTr="00C13529">
        <w:trPr>
          <w:trHeight w:val="508"/>
        </w:trPr>
        <w:tc>
          <w:tcPr>
            <w:tcW w:w="640" w:type="dxa"/>
            <w:vAlign w:val="center"/>
          </w:tcPr>
          <w:p w:rsidR="00B22C00" w:rsidRPr="001D323F" w:rsidRDefault="00C13529" w:rsidP="00B22C00">
            <w:pPr>
              <w:jc w:val="center"/>
              <w:rPr>
                <w:sz w:val="30"/>
                <w:szCs w:val="30"/>
              </w:rPr>
            </w:pPr>
            <w:r>
              <w:rPr>
                <w:rFonts w:hint="eastAsia"/>
                <w:sz w:val="30"/>
                <w:szCs w:val="30"/>
              </w:rPr>
              <w:t>11</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党建工作开展情况。是否充分发挥了大中小学党组织政治核心作用；是否健全完善了大中小学生党建管理体制和工作制度；是否把党组织工作融入各级各类学校教育教学各项工作中；是否按照要求认真开展“三严三实”专题教育和“两学一做”学习教育；是否将党的路线、方针、政策切实融入学校思想政治教育，进教材、进课堂、进头脑；党风廉政建设是否得到</w:t>
            </w:r>
            <w:r w:rsidRPr="00B22C00">
              <w:rPr>
                <w:rFonts w:ascii="仿宋_GB2312" w:eastAsia="仿宋_GB2312" w:hAnsi="仿宋_GB2312" w:cs="仿宋_GB2312" w:hint="eastAsia"/>
                <w:szCs w:val="21"/>
              </w:rPr>
              <w:lastRenderedPageBreak/>
              <w:t>认真落实。</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党校</w:t>
            </w:r>
            <w:r w:rsidR="00C13529">
              <w:rPr>
                <w:rFonts w:hint="eastAsia"/>
                <w:sz w:val="30"/>
                <w:szCs w:val="30"/>
              </w:rPr>
              <w:t>、各二级学院、</w:t>
            </w:r>
            <w:proofErr w:type="gramStart"/>
            <w:r w:rsidR="00C13529">
              <w:rPr>
                <w:rFonts w:hint="eastAsia"/>
                <w:sz w:val="30"/>
                <w:szCs w:val="30"/>
              </w:rPr>
              <w:t>思政部</w:t>
            </w:r>
            <w:proofErr w:type="gramEnd"/>
          </w:p>
        </w:tc>
      </w:tr>
      <w:tr w:rsidR="00B22C00" w:rsidRPr="001D323F" w:rsidTr="00C13529">
        <w:trPr>
          <w:trHeight w:val="508"/>
        </w:trPr>
        <w:tc>
          <w:tcPr>
            <w:tcW w:w="640" w:type="dxa"/>
            <w:vAlign w:val="center"/>
          </w:tcPr>
          <w:p w:rsidR="00B22C00" w:rsidRPr="001D323F" w:rsidRDefault="00B22C00" w:rsidP="00C13529">
            <w:pPr>
              <w:jc w:val="center"/>
              <w:rPr>
                <w:sz w:val="30"/>
                <w:szCs w:val="30"/>
              </w:rPr>
            </w:pPr>
            <w:r>
              <w:rPr>
                <w:rFonts w:hint="eastAsia"/>
                <w:sz w:val="30"/>
                <w:szCs w:val="30"/>
              </w:rPr>
              <w:lastRenderedPageBreak/>
              <w:t>1</w:t>
            </w:r>
            <w:r w:rsidR="00C13529">
              <w:rPr>
                <w:rFonts w:hint="eastAsia"/>
                <w:sz w:val="30"/>
                <w:szCs w:val="30"/>
              </w:rPr>
              <w:t>2</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 xml:space="preserve">德育工作情况。是否深入了解师生秋季开学思想动态，掌握学生个体思想动态；是否做好新生心理健康状况普查和心理危机排查工作，对心理危机事件做到早发现、早干预； </w:t>
            </w:r>
          </w:p>
        </w:tc>
        <w:tc>
          <w:tcPr>
            <w:tcW w:w="2513" w:type="dxa"/>
            <w:vAlign w:val="center"/>
          </w:tcPr>
          <w:p w:rsidR="00B22C00" w:rsidRPr="001D323F" w:rsidRDefault="00B22C00" w:rsidP="00B22C00">
            <w:pPr>
              <w:jc w:val="center"/>
              <w:rPr>
                <w:sz w:val="30"/>
                <w:szCs w:val="30"/>
              </w:rPr>
            </w:pPr>
          </w:p>
        </w:tc>
        <w:tc>
          <w:tcPr>
            <w:tcW w:w="2128" w:type="dxa"/>
            <w:vAlign w:val="center"/>
          </w:tcPr>
          <w:p w:rsidR="00C13529" w:rsidRDefault="00C13529" w:rsidP="00B22C00">
            <w:pPr>
              <w:jc w:val="center"/>
              <w:rPr>
                <w:rFonts w:hint="eastAsia"/>
                <w:sz w:val="30"/>
                <w:szCs w:val="30"/>
              </w:rPr>
            </w:pPr>
            <w:r>
              <w:rPr>
                <w:rFonts w:hint="eastAsia"/>
                <w:sz w:val="30"/>
                <w:szCs w:val="30"/>
              </w:rPr>
              <w:t>学工处</w:t>
            </w:r>
          </w:p>
          <w:p w:rsidR="00B22C00" w:rsidRPr="00B22C00" w:rsidRDefault="00B22C00" w:rsidP="00C13529">
            <w:pPr>
              <w:jc w:val="center"/>
              <w:rPr>
                <w:sz w:val="30"/>
                <w:szCs w:val="30"/>
              </w:rPr>
            </w:pPr>
            <w:r>
              <w:rPr>
                <w:rFonts w:hint="eastAsia"/>
                <w:sz w:val="30"/>
                <w:szCs w:val="30"/>
              </w:rPr>
              <w:t>心理咨询中心</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1</w:t>
            </w:r>
            <w:r w:rsidR="00C13529">
              <w:rPr>
                <w:rFonts w:hint="eastAsia"/>
                <w:sz w:val="30"/>
                <w:szCs w:val="30"/>
              </w:rPr>
              <w:t>3</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是否将社会主义核心价值观作为大中小学生日常学习生活的基本遵循；是否普遍开展了理想信念教育、优秀传统文化教育和革命传统教育、公民意识教育、生态文明教育、心理健康教育、法制教育。</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Default="00C13529" w:rsidP="00B22C00">
            <w:pPr>
              <w:jc w:val="center"/>
              <w:rPr>
                <w:sz w:val="30"/>
                <w:szCs w:val="30"/>
              </w:rPr>
            </w:pPr>
            <w:r>
              <w:rPr>
                <w:rFonts w:hint="eastAsia"/>
                <w:sz w:val="30"/>
                <w:szCs w:val="30"/>
              </w:rPr>
              <w:t>各二级学院党总支</w:t>
            </w:r>
          </w:p>
        </w:tc>
      </w:tr>
      <w:tr w:rsidR="00B22C00" w:rsidRPr="001D323F" w:rsidTr="00C13529">
        <w:trPr>
          <w:trHeight w:val="508"/>
        </w:trPr>
        <w:tc>
          <w:tcPr>
            <w:tcW w:w="640" w:type="dxa"/>
            <w:vAlign w:val="center"/>
          </w:tcPr>
          <w:p w:rsidR="00B22C00" w:rsidRPr="001D323F" w:rsidRDefault="00B22C00" w:rsidP="00C13529">
            <w:pPr>
              <w:jc w:val="center"/>
              <w:rPr>
                <w:sz w:val="30"/>
                <w:szCs w:val="30"/>
              </w:rPr>
            </w:pPr>
            <w:r>
              <w:rPr>
                <w:rFonts w:hint="eastAsia"/>
                <w:sz w:val="30"/>
                <w:szCs w:val="30"/>
              </w:rPr>
              <w:t>1</w:t>
            </w:r>
            <w:r w:rsidR="00C13529">
              <w:rPr>
                <w:rFonts w:hint="eastAsia"/>
                <w:sz w:val="30"/>
                <w:szCs w:val="30"/>
              </w:rPr>
              <w:t>4</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校务公开情况。校务公开的内容、形式是否符合国家规定要求；是否严格执行教育收费公示制度；服务性收费和代收费收取是否符合规定。</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B22C00" w:rsidRDefault="00B22C00" w:rsidP="00B22C00">
            <w:pPr>
              <w:jc w:val="center"/>
              <w:rPr>
                <w:sz w:val="30"/>
                <w:szCs w:val="30"/>
              </w:rPr>
            </w:pPr>
            <w:r>
              <w:rPr>
                <w:rFonts w:hint="eastAsia"/>
                <w:sz w:val="30"/>
                <w:szCs w:val="30"/>
              </w:rPr>
              <w:t>财务处</w:t>
            </w:r>
            <w:r w:rsidR="00C13529">
              <w:rPr>
                <w:rFonts w:hint="eastAsia"/>
                <w:sz w:val="30"/>
                <w:szCs w:val="30"/>
              </w:rPr>
              <w:t>、办公室</w:t>
            </w:r>
          </w:p>
        </w:tc>
      </w:tr>
      <w:tr w:rsidR="00B22C00" w:rsidRPr="001D323F" w:rsidTr="00C13529">
        <w:trPr>
          <w:trHeight w:val="508"/>
        </w:trPr>
        <w:tc>
          <w:tcPr>
            <w:tcW w:w="640" w:type="dxa"/>
            <w:vAlign w:val="center"/>
          </w:tcPr>
          <w:p w:rsidR="00B22C00" w:rsidRPr="001D323F" w:rsidRDefault="00B22C00" w:rsidP="00C13529">
            <w:pPr>
              <w:jc w:val="center"/>
              <w:rPr>
                <w:sz w:val="30"/>
                <w:szCs w:val="30"/>
              </w:rPr>
            </w:pPr>
            <w:r>
              <w:rPr>
                <w:rFonts w:hint="eastAsia"/>
                <w:sz w:val="30"/>
                <w:szCs w:val="30"/>
              </w:rPr>
              <w:t>1</w:t>
            </w:r>
            <w:r w:rsidR="00C13529">
              <w:rPr>
                <w:rFonts w:hint="eastAsia"/>
                <w:sz w:val="30"/>
                <w:szCs w:val="30"/>
              </w:rPr>
              <w:t>5</w:t>
            </w:r>
          </w:p>
        </w:tc>
        <w:tc>
          <w:tcPr>
            <w:tcW w:w="3579" w:type="dxa"/>
            <w:vAlign w:val="center"/>
          </w:tcPr>
          <w:p w:rsidR="00B22C00" w:rsidRPr="001D323F" w:rsidRDefault="00B22C00" w:rsidP="00B22C00">
            <w:pPr>
              <w:spacing w:line="580" w:lineRule="exact"/>
              <w:rPr>
                <w:sz w:val="30"/>
                <w:szCs w:val="30"/>
              </w:rPr>
            </w:pPr>
            <w:r w:rsidRPr="00B22C00">
              <w:rPr>
                <w:rFonts w:ascii="仿宋_GB2312" w:eastAsia="仿宋_GB2312" w:hAnsi="仿宋_GB2312" w:cs="仿宋_GB2312" w:hint="eastAsia"/>
                <w:szCs w:val="21"/>
              </w:rPr>
              <w:t>治理乱收费情况。治理择校乱收费、补课乱收费、幼儿园乱收费等有关规定落实情况；是否存在违规乱办学、乱办班和乱收费等社会高度关注、群众反映强烈的突出问题。</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财务处</w:t>
            </w:r>
          </w:p>
        </w:tc>
      </w:tr>
      <w:tr w:rsidR="00B22C00" w:rsidRPr="001D323F" w:rsidTr="00C13529">
        <w:trPr>
          <w:trHeight w:val="508"/>
        </w:trPr>
        <w:tc>
          <w:tcPr>
            <w:tcW w:w="640" w:type="dxa"/>
            <w:vAlign w:val="center"/>
          </w:tcPr>
          <w:p w:rsidR="00B22C00" w:rsidRPr="001D323F" w:rsidRDefault="00B22C00" w:rsidP="00C13529">
            <w:pPr>
              <w:jc w:val="center"/>
              <w:rPr>
                <w:sz w:val="30"/>
                <w:szCs w:val="30"/>
              </w:rPr>
            </w:pPr>
            <w:r>
              <w:rPr>
                <w:rFonts w:hint="eastAsia"/>
                <w:sz w:val="30"/>
                <w:szCs w:val="30"/>
              </w:rPr>
              <w:t>1</w:t>
            </w:r>
            <w:r w:rsidR="00C13529">
              <w:rPr>
                <w:rFonts w:hint="eastAsia"/>
                <w:sz w:val="30"/>
                <w:szCs w:val="30"/>
              </w:rPr>
              <w:t>6</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教师配备情况。是否按要求配备教职工；音体</w:t>
            </w:r>
            <w:proofErr w:type="gramStart"/>
            <w:r w:rsidRPr="00B22C00">
              <w:rPr>
                <w:rFonts w:ascii="仿宋_GB2312" w:eastAsia="仿宋_GB2312" w:hAnsi="仿宋_GB2312" w:cs="仿宋_GB2312" w:hint="eastAsia"/>
                <w:szCs w:val="21"/>
              </w:rPr>
              <w:t>美教师</w:t>
            </w:r>
            <w:proofErr w:type="gramEnd"/>
            <w:r w:rsidRPr="00B22C00">
              <w:rPr>
                <w:rFonts w:ascii="仿宋_GB2312" w:eastAsia="仿宋_GB2312" w:hAnsi="仿宋_GB2312" w:cs="仿宋_GB2312" w:hint="eastAsia"/>
                <w:szCs w:val="21"/>
              </w:rPr>
              <w:t>是否满足教学需要。</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组织</w:t>
            </w:r>
            <w:r w:rsidR="00B22C00">
              <w:rPr>
                <w:rFonts w:hint="eastAsia"/>
                <w:sz w:val="30"/>
                <w:szCs w:val="30"/>
              </w:rPr>
              <w:t>人事处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lastRenderedPageBreak/>
              <w:t>1</w:t>
            </w:r>
            <w:r w:rsidR="00C13529">
              <w:rPr>
                <w:rFonts w:hint="eastAsia"/>
                <w:sz w:val="30"/>
                <w:szCs w:val="30"/>
              </w:rPr>
              <w:t>7</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师德师风建设情况。是否建立师德建设长效机制；是否存在违反教师职业道德行为；是否存在违规收受家长礼品礼金情况；是否存在有偿补课情况。</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B22C00" w:rsidRDefault="00C13529" w:rsidP="00B22C00">
            <w:pPr>
              <w:jc w:val="center"/>
              <w:rPr>
                <w:sz w:val="30"/>
                <w:szCs w:val="30"/>
              </w:rPr>
            </w:pPr>
            <w:r>
              <w:rPr>
                <w:rFonts w:hint="eastAsia"/>
                <w:sz w:val="30"/>
                <w:szCs w:val="30"/>
              </w:rPr>
              <w:t>组织</w:t>
            </w:r>
            <w:r w:rsidR="00B22C00">
              <w:rPr>
                <w:rFonts w:hint="eastAsia"/>
                <w:sz w:val="30"/>
                <w:szCs w:val="30"/>
              </w:rPr>
              <w:t>人事处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1</w:t>
            </w:r>
            <w:r w:rsidR="00C13529">
              <w:rPr>
                <w:rFonts w:hint="eastAsia"/>
                <w:sz w:val="30"/>
                <w:szCs w:val="30"/>
              </w:rPr>
              <w:t>8</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教师权益保障情况，教师的合法权益是否落实到位；教职工的工资待遇是否落实到位并按时发放；乡村教师补助是否发放到位。</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组织</w:t>
            </w:r>
            <w:r w:rsidR="00B22C00">
              <w:rPr>
                <w:rFonts w:hint="eastAsia"/>
                <w:sz w:val="30"/>
                <w:szCs w:val="30"/>
              </w:rPr>
              <w:t>人事处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1</w:t>
            </w:r>
            <w:r w:rsidR="00C13529">
              <w:rPr>
                <w:rFonts w:hint="eastAsia"/>
                <w:sz w:val="30"/>
                <w:szCs w:val="30"/>
              </w:rPr>
              <w:t>9</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校园安全隐患排查情况。是否对重点区域和人员密集场所安全隐患进行全面排查整改；是否加强危险化学品及特种设备的管理，及时消除安全隐患；是否有完善的食品安全管理制度和应急措施；是否对学生之间矛盾纠纷等苗头性问题进行排查化解；是否采取有效措施防范校园暴力、校园欺凌行为。</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安全</w:t>
            </w:r>
            <w:r w:rsidR="00B22C00">
              <w:rPr>
                <w:rFonts w:hint="eastAsia"/>
                <w:sz w:val="30"/>
                <w:szCs w:val="30"/>
              </w:rPr>
              <w:t>保卫处</w:t>
            </w:r>
            <w:r>
              <w:rPr>
                <w:rFonts w:hint="eastAsia"/>
                <w:sz w:val="30"/>
                <w:szCs w:val="30"/>
              </w:rPr>
              <w:t>、后勤处</w:t>
            </w:r>
          </w:p>
        </w:tc>
      </w:tr>
      <w:tr w:rsidR="00B22C00" w:rsidRPr="001D323F" w:rsidTr="00C13529">
        <w:trPr>
          <w:trHeight w:val="508"/>
        </w:trPr>
        <w:tc>
          <w:tcPr>
            <w:tcW w:w="640" w:type="dxa"/>
            <w:vAlign w:val="center"/>
          </w:tcPr>
          <w:p w:rsidR="00B22C00" w:rsidRDefault="00C13529" w:rsidP="00B22C00">
            <w:pPr>
              <w:jc w:val="center"/>
              <w:rPr>
                <w:sz w:val="30"/>
                <w:szCs w:val="30"/>
              </w:rPr>
            </w:pPr>
            <w:r>
              <w:rPr>
                <w:rFonts w:hint="eastAsia"/>
                <w:sz w:val="30"/>
                <w:szCs w:val="30"/>
              </w:rPr>
              <w:t>20</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校舍隐患排查情况。中小学是否建立校舍安全年检制度，并将排查信息录入全国中小学校校舍信息管理系统；中小学校是否已消除所有D级危房。是否开展高校危房隐患排查整治专项活动；高校是否对需要维修、改造和</w:t>
            </w:r>
            <w:r w:rsidRPr="00B22C00">
              <w:rPr>
                <w:rFonts w:ascii="仿宋_GB2312" w:eastAsia="仿宋_GB2312" w:hAnsi="仿宋_GB2312" w:cs="仿宋_GB2312" w:hint="eastAsia"/>
                <w:szCs w:val="21"/>
              </w:rPr>
              <w:lastRenderedPageBreak/>
              <w:t>加固的危房落实改造实施方案；高校是否已对鉴定为D级的危房予以封存停用，并落实拆除时间和台账。</w:t>
            </w:r>
          </w:p>
        </w:tc>
        <w:tc>
          <w:tcPr>
            <w:tcW w:w="2513" w:type="dxa"/>
            <w:vAlign w:val="center"/>
          </w:tcPr>
          <w:p w:rsidR="00B22C00" w:rsidRPr="001D323F" w:rsidRDefault="00B22C00" w:rsidP="00B22C00">
            <w:pPr>
              <w:jc w:val="center"/>
              <w:rPr>
                <w:sz w:val="30"/>
                <w:szCs w:val="30"/>
              </w:rPr>
            </w:pPr>
          </w:p>
        </w:tc>
        <w:tc>
          <w:tcPr>
            <w:tcW w:w="2128" w:type="dxa"/>
            <w:vAlign w:val="center"/>
          </w:tcPr>
          <w:p w:rsidR="00C13529" w:rsidRDefault="00C13529" w:rsidP="00B22C00">
            <w:pPr>
              <w:jc w:val="center"/>
              <w:rPr>
                <w:rFonts w:hint="eastAsia"/>
                <w:sz w:val="30"/>
                <w:szCs w:val="30"/>
              </w:rPr>
            </w:pPr>
            <w:r>
              <w:rPr>
                <w:rFonts w:hint="eastAsia"/>
                <w:sz w:val="30"/>
                <w:szCs w:val="30"/>
              </w:rPr>
              <w:t>学工处、</w:t>
            </w:r>
          </w:p>
          <w:p w:rsidR="00B22C00" w:rsidRPr="001D323F" w:rsidRDefault="00C13529" w:rsidP="00B22C00">
            <w:pPr>
              <w:jc w:val="center"/>
              <w:rPr>
                <w:sz w:val="30"/>
                <w:szCs w:val="30"/>
              </w:rPr>
            </w:pPr>
            <w:r>
              <w:rPr>
                <w:rFonts w:hint="eastAsia"/>
                <w:sz w:val="30"/>
                <w:szCs w:val="30"/>
              </w:rPr>
              <w:t>后勤处</w:t>
            </w:r>
          </w:p>
        </w:tc>
      </w:tr>
      <w:tr w:rsidR="00B22C00" w:rsidRPr="001D323F" w:rsidTr="00C13529">
        <w:trPr>
          <w:trHeight w:val="508"/>
        </w:trPr>
        <w:tc>
          <w:tcPr>
            <w:tcW w:w="640" w:type="dxa"/>
            <w:vAlign w:val="center"/>
          </w:tcPr>
          <w:p w:rsidR="00B22C00" w:rsidRDefault="00C13529" w:rsidP="00B22C00">
            <w:pPr>
              <w:jc w:val="center"/>
              <w:rPr>
                <w:sz w:val="30"/>
                <w:szCs w:val="30"/>
              </w:rPr>
            </w:pPr>
            <w:r>
              <w:rPr>
                <w:rFonts w:hint="eastAsia"/>
                <w:sz w:val="30"/>
                <w:szCs w:val="30"/>
              </w:rPr>
              <w:lastRenderedPageBreak/>
              <w:t>21</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学校“三防”建设落实情况。学校是否配齐必要的安全防护、应急处置装备；校园重点部位是否安装视频监控；寄宿制校园是否设专职宿舍管理员；校园安全管理制度是否完善；是否制定地震、火灾、食物中毒、拥挤踩踏等突发安全事件应急预案并按照规定组织演练。</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安全</w:t>
            </w:r>
            <w:r w:rsidR="00B22C00">
              <w:rPr>
                <w:rFonts w:hint="eastAsia"/>
                <w:sz w:val="30"/>
                <w:szCs w:val="30"/>
              </w:rPr>
              <w:t>保卫处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2</w:t>
            </w:r>
            <w:r w:rsidR="00C13529">
              <w:rPr>
                <w:rFonts w:hint="eastAsia"/>
                <w:sz w:val="30"/>
                <w:szCs w:val="30"/>
              </w:rPr>
              <w:t>2</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proofErr w:type="gramStart"/>
            <w:r w:rsidRPr="00B22C00">
              <w:rPr>
                <w:rFonts w:ascii="仿宋_GB2312" w:eastAsia="仿宋_GB2312" w:hAnsi="仿宋_GB2312" w:cs="仿宋_GB2312" w:hint="eastAsia"/>
                <w:szCs w:val="21"/>
              </w:rPr>
              <w:t>校园周</w:t>
            </w:r>
            <w:proofErr w:type="gramEnd"/>
            <w:r w:rsidRPr="00B22C00">
              <w:rPr>
                <w:rFonts w:ascii="仿宋_GB2312" w:eastAsia="仿宋_GB2312" w:hAnsi="仿宋_GB2312" w:cs="仿宋_GB2312" w:hint="eastAsia"/>
                <w:szCs w:val="21"/>
              </w:rPr>
              <w:t>边防控情况。校园周边公安机关高峰勤务、“护学岗”和群防群治机制是否健全；警校联动机制是否建立，校园周边警务室民警是否经常到校沟通联系、指导工作；是否开展校园及周边治安集中专项整治行动，净化校园及周边治安环境。</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安全</w:t>
            </w:r>
            <w:r w:rsidR="00B22C00">
              <w:rPr>
                <w:rFonts w:hint="eastAsia"/>
                <w:sz w:val="30"/>
                <w:szCs w:val="30"/>
              </w:rPr>
              <w:t>保卫处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2</w:t>
            </w:r>
            <w:r w:rsidR="00C13529">
              <w:rPr>
                <w:rFonts w:hint="eastAsia"/>
                <w:sz w:val="30"/>
                <w:szCs w:val="30"/>
              </w:rPr>
              <w:t>3</w:t>
            </w:r>
          </w:p>
        </w:tc>
        <w:tc>
          <w:tcPr>
            <w:tcW w:w="3579" w:type="dxa"/>
            <w:vAlign w:val="center"/>
          </w:tcPr>
          <w:p w:rsidR="00B22C00" w:rsidRPr="00B22C00" w:rsidRDefault="00B22C00" w:rsidP="003A66FF">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学生上下学交通安全和校车安全管理情况。是否存在使用拼装车、报废车、未取得校车使用许可车辆接送学生，以及未取得校车驾驶资格人员驾驶校车、超速、超员、不按许可路线行驶</w:t>
            </w:r>
            <w:r w:rsidRPr="00B22C00">
              <w:rPr>
                <w:rFonts w:ascii="仿宋_GB2312" w:eastAsia="仿宋_GB2312" w:hAnsi="仿宋_GB2312" w:cs="仿宋_GB2312" w:hint="eastAsia"/>
                <w:szCs w:val="21"/>
              </w:rPr>
              <w:lastRenderedPageBreak/>
              <w:t>等违法行为；学校门口道路是否设置警示牌、减震带；是否按照要求设置校车站点；校车运营是否按照要求落实各项安全管理制度。</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3A66FF">
            <w:pPr>
              <w:jc w:val="center"/>
              <w:rPr>
                <w:sz w:val="30"/>
                <w:szCs w:val="30"/>
              </w:rPr>
            </w:pPr>
            <w:r>
              <w:rPr>
                <w:rFonts w:hint="eastAsia"/>
                <w:sz w:val="30"/>
                <w:szCs w:val="30"/>
              </w:rPr>
              <w:t>办公室</w:t>
            </w:r>
          </w:p>
        </w:tc>
      </w:tr>
      <w:tr w:rsidR="00C13529" w:rsidRPr="001D323F" w:rsidTr="00C13529">
        <w:trPr>
          <w:trHeight w:val="508"/>
        </w:trPr>
        <w:tc>
          <w:tcPr>
            <w:tcW w:w="640" w:type="dxa"/>
            <w:vAlign w:val="center"/>
          </w:tcPr>
          <w:p w:rsidR="00C13529" w:rsidRDefault="00C13529" w:rsidP="00C13529">
            <w:pPr>
              <w:jc w:val="center"/>
              <w:rPr>
                <w:rFonts w:hint="eastAsia"/>
                <w:sz w:val="30"/>
                <w:szCs w:val="30"/>
              </w:rPr>
            </w:pPr>
            <w:r>
              <w:rPr>
                <w:rFonts w:hint="eastAsia"/>
                <w:sz w:val="30"/>
                <w:szCs w:val="30"/>
              </w:rPr>
              <w:lastRenderedPageBreak/>
              <w:t>24</w:t>
            </w:r>
          </w:p>
        </w:tc>
        <w:tc>
          <w:tcPr>
            <w:tcW w:w="3579" w:type="dxa"/>
            <w:vAlign w:val="center"/>
          </w:tcPr>
          <w:p w:rsidR="00C13529" w:rsidRPr="00B22C00" w:rsidRDefault="00C13529" w:rsidP="00B22C00">
            <w:pPr>
              <w:spacing w:line="580" w:lineRule="exact"/>
              <w:rPr>
                <w:rFonts w:ascii="仿宋_GB2312" w:eastAsia="仿宋_GB2312" w:hAnsi="仿宋_GB2312" w:cs="仿宋_GB2312" w:hint="eastAsia"/>
                <w:szCs w:val="21"/>
              </w:rPr>
            </w:pPr>
            <w:r w:rsidRPr="00B22C00">
              <w:rPr>
                <w:rFonts w:ascii="仿宋_GB2312" w:eastAsia="仿宋_GB2312" w:hAnsi="仿宋_GB2312" w:cs="仿宋_GB2312" w:hint="eastAsia"/>
                <w:szCs w:val="21"/>
              </w:rPr>
              <w:t>安全教育开展情况。是否将安全教育纳入日常教育教学内容之中；是否定期开设安全教育课；是否突出安全教育重点，加强防溺水、交通安全、消防安全、应对自然灾害、防范校园伤害等方面教育；是否通过多种方式告知家长认真落实监护人职责，承担起学生脱离学校管理后的监护责任；是否按照要求做好教育部基础教育一司防溺水《致全国中小学生家长的一封信》发放和回执回收保管工作。</w:t>
            </w:r>
          </w:p>
        </w:tc>
        <w:tc>
          <w:tcPr>
            <w:tcW w:w="2513" w:type="dxa"/>
            <w:vAlign w:val="center"/>
          </w:tcPr>
          <w:p w:rsidR="00C13529" w:rsidRPr="001D323F" w:rsidRDefault="00C13529" w:rsidP="00B22C00">
            <w:pPr>
              <w:jc w:val="center"/>
              <w:rPr>
                <w:sz w:val="30"/>
                <w:szCs w:val="30"/>
              </w:rPr>
            </w:pPr>
          </w:p>
        </w:tc>
        <w:tc>
          <w:tcPr>
            <w:tcW w:w="2128" w:type="dxa"/>
            <w:vAlign w:val="center"/>
          </w:tcPr>
          <w:p w:rsidR="00C13529" w:rsidRDefault="00C13529" w:rsidP="00C13529">
            <w:pPr>
              <w:jc w:val="center"/>
              <w:rPr>
                <w:rFonts w:hint="eastAsia"/>
                <w:sz w:val="30"/>
                <w:szCs w:val="30"/>
              </w:rPr>
            </w:pPr>
            <w:r>
              <w:rPr>
                <w:rFonts w:hint="eastAsia"/>
                <w:sz w:val="30"/>
                <w:szCs w:val="30"/>
              </w:rPr>
              <w:t>安全保卫处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2</w:t>
            </w:r>
            <w:r w:rsidR="00C13529">
              <w:rPr>
                <w:rFonts w:hint="eastAsia"/>
                <w:sz w:val="30"/>
                <w:szCs w:val="30"/>
              </w:rPr>
              <w:t>5</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安全稳定重点工作落实情况。各地是否落实了《关于切实做好秋季开学期间学校安全稳定工作的通知》（</w:t>
            </w:r>
            <w:proofErr w:type="gramStart"/>
            <w:r w:rsidRPr="00B22C00">
              <w:rPr>
                <w:rFonts w:ascii="仿宋_GB2312" w:eastAsia="仿宋_GB2312" w:hAnsi="仿宋_GB2312" w:cs="仿宋_GB2312" w:hint="eastAsia"/>
                <w:szCs w:val="21"/>
              </w:rPr>
              <w:t>赣教电传</w:t>
            </w:r>
            <w:proofErr w:type="gramEnd"/>
            <w:r w:rsidRPr="00B22C00">
              <w:rPr>
                <w:rFonts w:ascii="仿宋_GB2312" w:eastAsia="仿宋_GB2312" w:hAnsi="仿宋_GB2312" w:cs="仿宋_GB2312" w:hint="eastAsia"/>
                <w:szCs w:val="21"/>
              </w:rPr>
              <w:t>字〔2016〕30号）“六个一”要求。是否开展了《江西省学校学生人身伤害事故预防与处理条例》的宣传教育活动；秋季开学后，学校是否履行安全提醒告之义务。是否加强了校园欺</w:t>
            </w:r>
            <w:r w:rsidRPr="00B22C00">
              <w:rPr>
                <w:rFonts w:ascii="仿宋_GB2312" w:eastAsia="仿宋_GB2312" w:hAnsi="仿宋_GB2312" w:cs="仿宋_GB2312" w:hint="eastAsia"/>
                <w:szCs w:val="21"/>
              </w:rPr>
              <w:lastRenderedPageBreak/>
              <w:t>凌专项治理工作，教育行政部门是否按照《全省中小学校园欺凌专项治理工作方案》要求，安排了督学对责任区内学校专项治理情况全程监督；是否按照要求每月及时报送工作报表；各中小学校是否按照《全省中小学校园欺凌专项治理工作方案》要求开展了专题教育、完善制度、加强预防、及时对校园欺凌事件进行了处理。教育行政部门是按照《关于建立健全中小学校学生安全事故统计报告制度的通知》（</w:t>
            </w:r>
            <w:proofErr w:type="gramStart"/>
            <w:r w:rsidRPr="00B22C00">
              <w:rPr>
                <w:rFonts w:ascii="仿宋_GB2312" w:eastAsia="仿宋_GB2312" w:hAnsi="仿宋_GB2312" w:cs="仿宋_GB2312" w:hint="eastAsia"/>
                <w:szCs w:val="21"/>
              </w:rPr>
              <w:t>赣教稳定字</w:t>
            </w:r>
            <w:proofErr w:type="gramEnd"/>
            <w:r w:rsidRPr="00B22C00">
              <w:rPr>
                <w:rFonts w:ascii="仿宋_GB2312" w:eastAsia="仿宋_GB2312" w:hAnsi="仿宋_GB2312" w:cs="仿宋_GB2312" w:hint="eastAsia"/>
                <w:szCs w:val="21"/>
              </w:rPr>
              <w:t>〔2016〕3号）要求建立本地学校学生安全事故情况基础</w:t>
            </w:r>
            <w:proofErr w:type="gramStart"/>
            <w:r w:rsidRPr="00B22C00">
              <w:rPr>
                <w:rFonts w:ascii="仿宋_GB2312" w:eastAsia="仿宋_GB2312" w:hAnsi="仿宋_GB2312" w:cs="仿宋_GB2312" w:hint="eastAsia"/>
                <w:szCs w:val="21"/>
              </w:rPr>
              <w:t>汇总台</w:t>
            </w:r>
            <w:proofErr w:type="gramEnd"/>
            <w:r w:rsidRPr="00B22C00">
              <w:rPr>
                <w:rFonts w:ascii="仿宋_GB2312" w:eastAsia="仿宋_GB2312" w:hAnsi="仿宋_GB2312" w:cs="仿宋_GB2312" w:hint="eastAsia"/>
                <w:szCs w:val="21"/>
              </w:rPr>
              <w:t>账，中小学是否按要求建立学生安全事故</w:t>
            </w:r>
            <w:proofErr w:type="gramStart"/>
            <w:r w:rsidRPr="00B22C00">
              <w:rPr>
                <w:rFonts w:ascii="仿宋_GB2312" w:eastAsia="仿宋_GB2312" w:hAnsi="仿宋_GB2312" w:cs="仿宋_GB2312" w:hint="eastAsia"/>
                <w:szCs w:val="21"/>
              </w:rPr>
              <w:t>基础台</w:t>
            </w:r>
            <w:proofErr w:type="gramEnd"/>
            <w:r w:rsidRPr="00B22C00">
              <w:rPr>
                <w:rFonts w:ascii="仿宋_GB2312" w:eastAsia="仿宋_GB2312" w:hAnsi="仿宋_GB2312" w:cs="仿宋_GB2312" w:hint="eastAsia"/>
                <w:szCs w:val="21"/>
              </w:rPr>
              <w:t>账。是否按照《全省中小学校预防学生溺水专项行动行动方案》要求，落实了所列中小学校9项任务、教育行政部门6项任务；是否对6月份防溺水专项督导中发现问题进行了整改。</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安全</w:t>
            </w:r>
            <w:r w:rsidR="00B22C00">
              <w:rPr>
                <w:rFonts w:hint="eastAsia"/>
                <w:sz w:val="30"/>
                <w:szCs w:val="30"/>
              </w:rPr>
              <w:t>保卫处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lastRenderedPageBreak/>
              <w:t>2</w:t>
            </w:r>
            <w:r w:rsidR="00C13529">
              <w:rPr>
                <w:rFonts w:hint="eastAsia"/>
                <w:sz w:val="30"/>
                <w:szCs w:val="30"/>
              </w:rPr>
              <w:t>6</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学校对国际学生开展法律法规和规章制度教育情况。学校是否依照相关法律法规制定、更新学校的管理规定；是否组织国际学生学习各项法律法规</w:t>
            </w:r>
            <w:r w:rsidRPr="00B22C00">
              <w:rPr>
                <w:rFonts w:ascii="仿宋_GB2312" w:eastAsia="仿宋_GB2312" w:hAnsi="仿宋_GB2312" w:cs="仿宋_GB2312" w:hint="eastAsia"/>
                <w:szCs w:val="21"/>
              </w:rPr>
              <w:lastRenderedPageBreak/>
              <w:t>和学校规章制度。</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国际教育中心</w:t>
            </w:r>
          </w:p>
        </w:tc>
      </w:tr>
      <w:tr w:rsidR="00B22C00" w:rsidRPr="001D323F" w:rsidTr="00C13529">
        <w:trPr>
          <w:trHeight w:val="508"/>
        </w:trPr>
        <w:tc>
          <w:tcPr>
            <w:tcW w:w="640" w:type="dxa"/>
            <w:vAlign w:val="center"/>
          </w:tcPr>
          <w:p w:rsidR="00B22C00" w:rsidRDefault="00C13529" w:rsidP="00C13529">
            <w:pPr>
              <w:jc w:val="center"/>
              <w:rPr>
                <w:sz w:val="30"/>
                <w:szCs w:val="30"/>
              </w:rPr>
            </w:pPr>
            <w:r>
              <w:rPr>
                <w:rFonts w:hint="eastAsia"/>
                <w:sz w:val="30"/>
                <w:szCs w:val="30"/>
              </w:rPr>
              <w:lastRenderedPageBreak/>
              <w:t>27</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学生按时返校情况。学校是否全面准确地掌握国际学生返校情况，了解学生未返校原因；是否按照相关规定及时对未返校国际学生进行有效管理。</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国际教育中心</w:t>
            </w:r>
          </w:p>
        </w:tc>
      </w:tr>
      <w:tr w:rsidR="00B22C00" w:rsidRPr="001D323F" w:rsidTr="00C13529">
        <w:trPr>
          <w:trHeight w:val="508"/>
        </w:trPr>
        <w:tc>
          <w:tcPr>
            <w:tcW w:w="640" w:type="dxa"/>
            <w:vAlign w:val="center"/>
          </w:tcPr>
          <w:p w:rsidR="00B22C00" w:rsidRDefault="00C13529" w:rsidP="00C13529">
            <w:pPr>
              <w:jc w:val="center"/>
              <w:rPr>
                <w:sz w:val="30"/>
                <w:szCs w:val="30"/>
              </w:rPr>
            </w:pPr>
            <w:r>
              <w:rPr>
                <w:rFonts w:hint="eastAsia"/>
                <w:sz w:val="30"/>
                <w:szCs w:val="30"/>
              </w:rPr>
              <w:t>28</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安全教育和安全隐患排查情况。学校是否有效开展国际学生交通、消防和人身财务等安全教育；对国际学生公寓的管理情况；对安全隐患的排查情况；是否建立国际学生突发事件应急处理机制。</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C13529" w:rsidP="00B22C00">
            <w:pPr>
              <w:jc w:val="center"/>
              <w:rPr>
                <w:sz w:val="30"/>
                <w:szCs w:val="30"/>
              </w:rPr>
            </w:pPr>
            <w:r>
              <w:rPr>
                <w:rFonts w:hint="eastAsia"/>
                <w:sz w:val="30"/>
                <w:szCs w:val="30"/>
              </w:rPr>
              <w:t>安全</w:t>
            </w:r>
            <w:r w:rsidR="00B22C00">
              <w:rPr>
                <w:rFonts w:hint="eastAsia"/>
                <w:sz w:val="30"/>
                <w:szCs w:val="30"/>
              </w:rPr>
              <w:t>保卫处</w:t>
            </w:r>
          </w:p>
        </w:tc>
      </w:tr>
      <w:tr w:rsidR="00B22C00" w:rsidRPr="001D323F" w:rsidTr="00C13529">
        <w:trPr>
          <w:trHeight w:val="508"/>
        </w:trPr>
        <w:tc>
          <w:tcPr>
            <w:tcW w:w="640" w:type="dxa"/>
            <w:vAlign w:val="center"/>
          </w:tcPr>
          <w:p w:rsidR="00B22C00" w:rsidRDefault="00B22C00" w:rsidP="00C13529">
            <w:pPr>
              <w:jc w:val="center"/>
              <w:rPr>
                <w:sz w:val="30"/>
                <w:szCs w:val="30"/>
              </w:rPr>
            </w:pPr>
            <w:r>
              <w:rPr>
                <w:rFonts w:hint="eastAsia"/>
                <w:sz w:val="30"/>
                <w:szCs w:val="30"/>
              </w:rPr>
              <w:t>2</w:t>
            </w:r>
            <w:r w:rsidR="00C13529">
              <w:rPr>
                <w:rFonts w:hint="eastAsia"/>
                <w:sz w:val="30"/>
                <w:szCs w:val="30"/>
              </w:rPr>
              <w:t>9</w:t>
            </w:r>
          </w:p>
        </w:tc>
        <w:tc>
          <w:tcPr>
            <w:tcW w:w="3579" w:type="dxa"/>
            <w:vAlign w:val="center"/>
          </w:tcPr>
          <w:p w:rsidR="00B22C00" w:rsidRPr="00B22C00" w:rsidRDefault="00B22C00" w:rsidP="00B22C00">
            <w:pPr>
              <w:spacing w:line="580" w:lineRule="exact"/>
              <w:rPr>
                <w:rFonts w:ascii="仿宋_GB2312" w:eastAsia="仿宋_GB2312" w:hAnsi="仿宋_GB2312" w:cs="仿宋_GB2312"/>
                <w:szCs w:val="21"/>
              </w:rPr>
            </w:pPr>
            <w:r w:rsidRPr="00B22C00">
              <w:rPr>
                <w:rFonts w:ascii="仿宋_GB2312" w:eastAsia="仿宋_GB2312" w:hAnsi="仿宋_GB2312" w:cs="仿宋_GB2312" w:hint="eastAsia"/>
                <w:szCs w:val="21"/>
              </w:rPr>
              <w:t>《江西省教育督导规定》实施情况。县级政府教育督导委员会是否成立；教育督导经费是否列入县级财政预算；是否设立督学责任区，完小以上学校是否实行责任督学挂牌；督导报告是否网上公开；县级政府或者有关部门是否将督导报告作为教育决策、教育项目安排、被督导单位及其主要负责人考核奖惩的重要依据。</w:t>
            </w:r>
          </w:p>
        </w:tc>
        <w:tc>
          <w:tcPr>
            <w:tcW w:w="2513" w:type="dxa"/>
            <w:vAlign w:val="center"/>
          </w:tcPr>
          <w:p w:rsidR="00B22C00" w:rsidRPr="001D323F" w:rsidRDefault="00B22C00" w:rsidP="00B22C00">
            <w:pPr>
              <w:jc w:val="center"/>
              <w:rPr>
                <w:sz w:val="30"/>
                <w:szCs w:val="30"/>
              </w:rPr>
            </w:pPr>
          </w:p>
        </w:tc>
        <w:tc>
          <w:tcPr>
            <w:tcW w:w="2128" w:type="dxa"/>
            <w:vAlign w:val="center"/>
          </w:tcPr>
          <w:p w:rsidR="00B22C00" w:rsidRPr="001D323F" w:rsidRDefault="00B22C00" w:rsidP="00B22C00">
            <w:pPr>
              <w:jc w:val="center"/>
              <w:rPr>
                <w:sz w:val="30"/>
                <w:szCs w:val="30"/>
              </w:rPr>
            </w:pPr>
            <w:r>
              <w:rPr>
                <w:rFonts w:hint="eastAsia"/>
                <w:sz w:val="30"/>
                <w:szCs w:val="30"/>
              </w:rPr>
              <w:t>效能办</w:t>
            </w:r>
          </w:p>
        </w:tc>
      </w:tr>
    </w:tbl>
    <w:p w:rsidR="00676D57" w:rsidRPr="00591B7D" w:rsidRDefault="00676D57" w:rsidP="00C13529">
      <w:pPr>
        <w:widowControl/>
        <w:jc w:val="left"/>
        <w:rPr>
          <w:rFonts w:ascii="仿宋_GB2312" w:eastAsia="仿宋_GB2312"/>
          <w:sz w:val="32"/>
          <w:szCs w:val="32"/>
        </w:rPr>
      </w:pPr>
    </w:p>
    <w:sectPr w:rsidR="00676D57" w:rsidRPr="00591B7D" w:rsidSect="00B22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E8" w:rsidRDefault="000B62E8" w:rsidP="00591B7D">
      <w:r>
        <w:separator/>
      </w:r>
    </w:p>
  </w:endnote>
  <w:endnote w:type="continuationSeparator" w:id="0">
    <w:p w:rsidR="000B62E8" w:rsidRDefault="000B62E8" w:rsidP="0059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E8" w:rsidRDefault="000B62E8" w:rsidP="00591B7D">
      <w:r>
        <w:separator/>
      </w:r>
    </w:p>
  </w:footnote>
  <w:footnote w:type="continuationSeparator" w:id="0">
    <w:p w:rsidR="000B62E8" w:rsidRDefault="000B62E8" w:rsidP="0059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7F"/>
    <w:rsid w:val="000B62E8"/>
    <w:rsid w:val="00284DBF"/>
    <w:rsid w:val="003A66FF"/>
    <w:rsid w:val="005069BB"/>
    <w:rsid w:val="0052627F"/>
    <w:rsid w:val="00591B7D"/>
    <w:rsid w:val="00676D57"/>
    <w:rsid w:val="0071195A"/>
    <w:rsid w:val="00A53D3F"/>
    <w:rsid w:val="00AA3770"/>
    <w:rsid w:val="00B22C00"/>
    <w:rsid w:val="00B510A8"/>
    <w:rsid w:val="00C13529"/>
    <w:rsid w:val="00F0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7D"/>
    <w:rPr>
      <w:sz w:val="18"/>
      <w:szCs w:val="18"/>
    </w:rPr>
  </w:style>
  <w:style w:type="paragraph" w:styleId="a4">
    <w:name w:val="footer"/>
    <w:basedOn w:val="a"/>
    <w:link w:val="Char0"/>
    <w:uiPriority w:val="99"/>
    <w:unhideWhenUsed/>
    <w:rsid w:val="00591B7D"/>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7D"/>
    <w:rPr>
      <w:sz w:val="18"/>
      <w:szCs w:val="18"/>
    </w:rPr>
  </w:style>
  <w:style w:type="character" w:styleId="a5">
    <w:name w:val="Hyperlink"/>
    <w:basedOn w:val="a0"/>
    <w:uiPriority w:val="99"/>
    <w:unhideWhenUsed/>
    <w:rsid w:val="00591B7D"/>
    <w:rPr>
      <w:color w:val="0000FF" w:themeColor="hyperlink"/>
      <w:u w:val="single"/>
    </w:rPr>
  </w:style>
  <w:style w:type="paragraph" w:styleId="a6">
    <w:name w:val="Date"/>
    <w:basedOn w:val="a"/>
    <w:next w:val="a"/>
    <w:link w:val="Char1"/>
    <w:uiPriority w:val="99"/>
    <w:semiHidden/>
    <w:unhideWhenUsed/>
    <w:rsid w:val="00676D57"/>
    <w:pPr>
      <w:ind w:leftChars="2500" w:left="100"/>
    </w:pPr>
  </w:style>
  <w:style w:type="character" w:customStyle="1" w:styleId="Char1">
    <w:name w:val="日期 Char"/>
    <w:basedOn w:val="a0"/>
    <w:link w:val="a6"/>
    <w:uiPriority w:val="99"/>
    <w:semiHidden/>
    <w:rsid w:val="00676D57"/>
  </w:style>
  <w:style w:type="table" w:styleId="a7">
    <w:name w:val="Table Grid"/>
    <w:basedOn w:val="a1"/>
    <w:uiPriority w:val="59"/>
    <w:rsid w:val="00B22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7D"/>
    <w:rPr>
      <w:sz w:val="18"/>
      <w:szCs w:val="18"/>
    </w:rPr>
  </w:style>
  <w:style w:type="paragraph" w:styleId="a4">
    <w:name w:val="footer"/>
    <w:basedOn w:val="a"/>
    <w:link w:val="Char0"/>
    <w:uiPriority w:val="99"/>
    <w:unhideWhenUsed/>
    <w:rsid w:val="00591B7D"/>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7D"/>
    <w:rPr>
      <w:sz w:val="18"/>
      <w:szCs w:val="18"/>
    </w:rPr>
  </w:style>
  <w:style w:type="character" w:styleId="a5">
    <w:name w:val="Hyperlink"/>
    <w:basedOn w:val="a0"/>
    <w:uiPriority w:val="99"/>
    <w:unhideWhenUsed/>
    <w:rsid w:val="00591B7D"/>
    <w:rPr>
      <w:color w:val="0000FF" w:themeColor="hyperlink"/>
      <w:u w:val="single"/>
    </w:rPr>
  </w:style>
  <w:style w:type="paragraph" w:styleId="a6">
    <w:name w:val="Date"/>
    <w:basedOn w:val="a"/>
    <w:next w:val="a"/>
    <w:link w:val="Char1"/>
    <w:uiPriority w:val="99"/>
    <w:semiHidden/>
    <w:unhideWhenUsed/>
    <w:rsid w:val="00676D57"/>
    <w:pPr>
      <w:ind w:leftChars="2500" w:left="100"/>
    </w:pPr>
  </w:style>
  <w:style w:type="character" w:customStyle="1" w:styleId="Char1">
    <w:name w:val="日期 Char"/>
    <w:basedOn w:val="a0"/>
    <w:link w:val="a6"/>
    <w:uiPriority w:val="99"/>
    <w:semiHidden/>
    <w:rsid w:val="00676D57"/>
  </w:style>
  <w:style w:type="table" w:styleId="a7">
    <w:name w:val="Table Grid"/>
    <w:basedOn w:val="a1"/>
    <w:uiPriority w:val="59"/>
    <w:rsid w:val="00B22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498</Words>
  <Characters>2841</Characters>
  <Application>Microsoft Office Word</Application>
  <DocSecurity>0</DocSecurity>
  <Lines>23</Lines>
  <Paragraphs>6</Paragraphs>
  <ScaleCrop>false</ScaleCrop>
  <Company>Microsoft</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dc:description/>
  <cp:lastModifiedBy>kiki</cp:lastModifiedBy>
  <cp:revision>10</cp:revision>
  <dcterms:created xsi:type="dcterms:W3CDTF">2016-08-26T04:50:00Z</dcterms:created>
  <dcterms:modified xsi:type="dcterms:W3CDTF">2016-08-27T02:40:00Z</dcterms:modified>
</cp:coreProperties>
</file>